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27 STUDENT HANDBOOK</w:t>
      </w:r>
    </w:p>
    <w:p>
      <w:pPr>
        <w:jc w:val="center"/>
      </w:pPr>
      <w:r>
        <w:rPr>
          <w:b/>
          <w:color w:val="1E293B"/>
          <w:sz w:val="28"/>
        </w:rPr>
        <w:t>Di Boxes And Instrument Inputs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27 objective  Complete the independent build for Di Boxes And Instrument Inputs: Apply DI boxes and instrument inputs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DI boxes and instrument inputs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Di Boxes And Instrument Inputs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Di Boxes And Instrument Inputs.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“Di Boxes And Instrument Inputs”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Day_27_Di_Boxes_And_Instrument_Inputs/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Di Boxes And Instrument Inputs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DI boxes and instrument inputs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Di Boxes And Instrument Inputs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"Di Boxes And Instrument Inputs"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Di Boxes And Instrument Inputs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Di Boxes And Instrument Inputs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27 (Independent build) on Di Boxes And Instrument Inputs.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