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32 STUDENT HANDBOOK</w:t>
      </w:r>
    </w:p>
    <w:p>
      <w:pPr>
        <w:jc w:val="center"/>
      </w:pPr>
      <w:r>
        <w:rPr>
          <w:b/>
          <w:color w:val="1E293B"/>
          <w:sz w:val="28"/>
        </w:rPr>
        <w:t>Analog Mixer Controls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32 objective  Complete the guided practical for Analog Mixer Controls: Apply analog mixer controls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analog mixer controls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Analog Mixer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Analog Mixer Controls.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“Analog Mixer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Day_32_Analog_Mixer_Controls/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Analog Mixer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analog mixer controls.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Analog Mixer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"Analog Mixer Controls"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Analog Mixer Controls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Analog Mixer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32 (Guided practical) on Analog Mixer Controls.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