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33 STUDENT HANDBOOK</w:t>
      </w:r>
    </w:p>
    <w:p>
      <w:pPr>
        <w:jc w:val="center"/>
      </w:pPr>
      <w:r>
        <w:rPr>
          <w:b/>
          <w:color w:val="1E293B"/>
          <w:sz w:val="28"/>
        </w:rPr>
        <w:t>Analog Mixer Controls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33 objective  Complete the independent build for Analog Mixer Controls: Apply analog mixer controls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analog mixer controls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Analog Mixer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Analog Mixer Controls.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“Analog Mixer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Day_33_Analog_Mixer_Controls/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Analog Mixer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analog mixer controls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Analog Mixer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"Analog Mixer Controls"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Analog Mixer Controls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Analog Mixer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33 (Independent build) on Analog Mixer Controls.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