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37 STUDENT HANDBOOK</w:t>
      </w:r>
    </w:p>
    <w:p>
      <w:pPr>
        <w:jc w:val="center"/>
      </w:pPr>
      <w:r>
        <w:rPr>
          <w:b/>
          <w:color w:val="1E293B"/>
          <w:sz w:val="28"/>
        </w:rPr>
        <w:t>Digital Mixer Navigation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37 objective  Complete the orientation and setup for Digital Mixer Navigation: Apply digital mixer navigation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digital mixer navigation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Digital Mixer Navigation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Digital Mixer Navigation.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“Digital Mixer Navigation”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Day_37_Digital_Mixer_Navigation/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Digital Mixer Navigation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digital mixer navigation.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Digital Mixer Navigation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"Digital Mixer Navigation"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Digital Mixer Navigation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Digital Mixer Navigation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37 (Orientation and setup) on Digital Mixer Navigation.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