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39 STUDENT HANDBOOK</w:t>
      </w:r>
    </w:p>
    <w:p>
      <w:pPr>
        <w:jc w:val="center"/>
      </w:pPr>
      <w:r>
        <w:rPr>
          <w:b/>
          <w:color w:val="1E293B"/>
          <w:sz w:val="28"/>
        </w:rPr>
        <w:t>Digital Mixer Navigation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39 objective  Complete the independent build for Digital Mixer Navigation: Apply digital mixer navigation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digital mixer navigation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Digital Mixer Navigation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Digital Mixer Navigation.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“Digital Mixer Navigation”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Day_39_Digital_Mixer_Navigation/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Digital Mixer Navigation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digital mixer navigation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Digital Mixer Navigation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"Digital Mixer Navigation"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Digital Mixer Navigation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Digital Mixer Navigation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39 (Independent build) on Digital Mixer Navigation.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