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111 STUDENT HANDBOOK</w:t>
      </w:r>
    </w:p>
    <w:p>
      <w:pPr>
        <w:jc w:val="center"/>
      </w:pPr>
      <w:r>
        <w:rPr>
          <w:b/>
          <w:color w:val="1E293B"/>
          <w:sz w:val="28"/>
        </w:rPr>
        <w:t>Vocal Mixing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111 objective  Complete the independent build for Vocal Mixing: Apply vocal mixing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vocal mixing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Vocal Mixing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Vocal Mixing.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“Vocal Mixing”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Vocal Mixing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Day_111_Vocal_Mixing/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Vocal Mixing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vocal mixing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Vocal Mixing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"Vocal Mixing"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Vocal Mixing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Vocal Mixing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111 (Independent build) on Vocal Mixing.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