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114 STUDENT HANDBOOK</w:t>
      </w:r>
    </w:p>
    <w:p>
      <w:pPr>
        <w:jc w:val="center"/>
      </w:pPr>
      <w:r>
        <w:rPr>
          <w:b/>
          <w:color w:val="1E293B"/>
          <w:sz w:val="28"/>
        </w:rPr>
        <w:t>Vocal Mixing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114 objective  Complete the assessment and reflection for Vocal Mixing: Apply vocal mixing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vocal mixing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Vocal Mixing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Vocal Mixing.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“Vocal Mixing”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Vocal Mixing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Day_114_Vocal_Mixing/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Vocal Mixing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vocal mixing,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Vocal Mixing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"Vocal Mixing"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Vocal Mixing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Vocal Mixing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114 (Assessment and reflection) on Vocal Mixing.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