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117 STUDENT HANDBOOK</w:t>
      </w:r>
    </w:p>
    <w:p>
      <w:pPr>
        <w:jc w:val="center"/>
      </w:pPr>
      <w:r>
        <w:rPr>
          <w:b/>
          <w:color w:val="1E293B"/>
          <w:sz w:val="28"/>
        </w:rPr>
        <w:t>Band Mixing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117 objective  Complete the independent build for Band Mixing: Apply band mixing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band mixing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Band Mixing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Band Mixing.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“Band Mixing”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Band Mixing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Day_117_Band_Mixing/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Band Mixing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band mixing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117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Band Mixing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Independent build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"Band Mixing"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day-117_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Band Mixing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Band Mixing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117 (Independent build) on Band Mixing.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