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147 STUDENT HANDBOOK</w:t>
      </w:r>
    </w:p>
    <w:p>
      <w:pPr>
        <w:jc w:val="center"/>
      </w:pPr>
      <w:r>
        <w:rPr>
          <w:b/>
          <w:color w:val="1E293B"/>
          <w:sz w:val="28"/>
        </w:rPr>
        <w:t>Troubleshooting Noise And Hum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147 objective  Complete the independent build for Troubleshooting Noise And Hum: Apply troubleshooting noise and hum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troubleshooting noise and hum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Troubleshooting Noise And Hum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Troubleshooting Noise And Hum.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“Troubleshooting Noise And Hum”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Troubleshooting Noise And Hum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Day_147_Troubleshooting_Noise_And_Hum/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Troubleshooting Noise And Hum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troubleshooting noise and hum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Troubleshooting Noise And Hum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"Troubleshooting Noise And Hum"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Troubleshooting Noise And Hum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Troubleshooting Noise And Hum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147 (Independent build) on Troubleshooting Noise And Hum.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