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166 STUDENT HANDBOOK</w:t>
      </w:r>
    </w:p>
    <w:p>
      <w:pPr>
        <w:jc w:val="center"/>
      </w:pPr>
      <w:r>
        <w:rPr>
          <w:b/>
          <w:color w:val="1E293B"/>
          <w:sz w:val="28"/>
        </w:rPr>
        <w:t>Small Event Operation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166 objective  Complete the troubleshoot for Small Event Operation: Apply small event operation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small event operation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Small Event Operation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Small Event Operation.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“Small Event Operation”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Small Event Operation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Day_166_Small_Event_Operation/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Small Event Operation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small event operation.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166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Small Event Operation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"Small Event Operation"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day-166_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Small Event Operation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Small Event Operation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166 (Troubleshoot) on Small Event Operation.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