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3 STUDENT HANDBOOK</w:t>
      </w:r>
    </w:p>
    <w:p>
      <w:pPr>
        <w:jc w:val="center"/>
      </w:pPr>
      <w:r>
        <w:rPr>
          <w:b/>
          <w:color w:val="1E293B"/>
          <w:sz w:val="28"/>
        </w:rPr>
        <w:t>Ml Workflow And Environment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 objective  Complete the independent build for Ml Workflow And Environment: Apply ML workflow and environment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ML workflow and environment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Ml Workflow And Environment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Ml Workflow And Environment.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“Ml Workflow And Environment”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Ml Workflow And Environment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Day_03_Ml_Workflow_And_Environment/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Beyond_ML_Internship\Day_03_Ml_Workflow_And_Environment\evidence, Beyond_ML_Internship\Day_03_Ml_Workflow_And_Environment\notebooks, Beyond_ML_Internship\Day_03_Ml_Workflow_And_Environment\src, Beyond_ML_Internship\Day_03_Ml_Workflow_And_Environment\data, Beyond_ML_Internship\Day_03_Ml_Workflow_And_Environment\output, Beyond_ML_Internship\Day_03_Ml_Workflow_And_Environment\report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Beyond_ML_Internship/Day_03_Ml_Workflow_And_Environment/{evidence,notebooks,src,data,output,report}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Ml Workflow And Environment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ML workflow and environment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day_03_lab.py — Independent build: Ml Workflow And Environment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 practical starter for Ml Workflow And Environment.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'Ml Workflow And Environment')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Ml Workflow And Environment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Ml Workflow And Environment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 (Independent build) on Ml Workflow And Environment.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