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12 STUDENT HANDBOOK</w:t>
      </w:r>
    </w:p>
    <w:p>
      <w:pPr>
        <w:jc w:val="center"/>
      </w:pPr>
      <w:r>
        <w:rPr>
          <w:b/>
          <w:color w:val="1E293B"/>
          <w:sz w:val="28"/>
        </w:rPr>
        <w:t>Python For Ml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 objective  Complete the assessment and reflection for Python For Ml: Apply Python for ML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Python for ML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Python For Ml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Python For Ml.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“Python For Ml”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Day_12_Python_For_Ml/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Beyond_ML_Internship\Day_12_Python_For_Ml\evidence, Beyond_ML_Internship\Day_12_Python_For_Ml\notebooks, Beyond_ML_Internship\Day_12_Python_For_Ml\src, Beyond_ML_Internship\Day_12_Python_For_Ml\data, Beyond_ML_Internship\Day_12_Python_For_Ml\output, Beyond_ML_Internship\Day_12_Python_For_Ml\report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Beyond_ML_Internship/Day_12_Python_For_Ml/{evidence,notebooks,src,data,output,report}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Python For Ml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Python for ML,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day_12_lab.py — Assessment and reflection: Python For Ml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 practical starter for Python For Ml.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'Python For Ml')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Python For Ml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Python For Ml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 (Assessment and reflection) on Python For Ml.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