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24 STUDENT HANDBOOK</w:t>
      </w:r>
    </w:p>
    <w:p>
      <w:pPr>
        <w:jc w:val="center"/>
      </w:pPr>
      <w:r>
        <w:rPr>
          <w:b/>
          <w:color w:val="1E293B"/>
          <w:sz w:val="28"/>
        </w:rPr>
        <w:t>Pandas Foundations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24 objective  Complete the assessment and reflection for Pandas Foundations: Apply pandas foundations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pandas foundations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Pandas Foundations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Pandas Foundations.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“Pandas Foundations”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Pandas Foundations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Day_24_Pandas_Foundations/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Beyond_ML_Internship\Day_24_Pandas_Foundations\evidence, Beyond_ML_Internship\Day_24_Pandas_Foundations\notebooks, Beyond_ML_Internship\Day_24_Pandas_Foundations\src, Beyond_ML_Internship\Day_24_Pandas_Foundations\data, Beyond_ML_Internship\Day_24_Pandas_Foundations\output, Beyond_ML_Internship\Day_24_Pandas_Foundations\report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Beyond_ML_Internship/Day_24_Pandas_Foundations/{evidence,notebooks,src,data,output,report}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Pandas Foundations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pandas foundations,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day_24_lab.py — Assessment and reflection: Pandas Foundations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24 practical starter for Pandas Foundations.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'Pandas Foundations')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Pandas Foundations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Pandas Foundations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24 (Assessment and reflection) on Pandas Foundations.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