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43 STUDENT HANDBOOK</w:t>
      </w:r>
    </w:p>
    <w:p>
      <w:pPr>
        <w:jc w:val="center"/>
      </w:pPr>
      <w:r>
        <w:rPr>
          <w:b/>
          <w:color w:val="1E293B"/>
          <w:sz w:val="28"/>
        </w:rPr>
        <w:t>Feature Encoding And Scaling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43 objective  Complete the orientation and setup for Feature Encoding And Scaling: Apply feature encoding and scaling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feature encoding and scaling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Feature Encoding And Scaling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Feature Encoding And Scaling.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“Feature Encoding And Scaling”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Day_43_Feature_Encoding_And_Scaling/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Beyond_ML_Internship\Day_43_Feature_Encoding_And_Scaling\evidence, Beyond_ML_Internship\Day_43_Feature_Encoding_And_Scaling\notebooks, Beyond_ML_Internship\Day_43_Feature_Encoding_And_Scaling\src, Beyond_ML_Internship\Day_43_Feature_Encoding_And_Scaling\data, Beyond_ML_Internship\Day_43_Feature_Encoding_And_Scaling\output, Beyond_ML_Internship\Day_43_Feature_Encoding_And_Scaling\report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Beyond_ML_Internship/Day_43_Feature_Encoding_And_Scaling/{evidence,notebooks,src,data,output,report}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Feature Encoding And Scaling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feature encoding and scaling.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day_43_lab.py — Orientation and setup: Feature Encoding And Scaling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43 practical starter for Feature Encoding And Scaling.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'Feature Encoding And Scaling')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Feature Encoding And Scaling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Feature Encoding And Scaling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43 (Orientation and setup) on Feature Encoding And Scaling.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