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57 STUDENT HANDBOOK</w:t>
      </w:r>
    </w:p>
    <w:p>
      <w:pPr>
        <w:jc w:val="center"/>
      </w:pPr>
      <w:r>
        <w:rPr>
          <w:b/>
          <w:color w:val="1E293B"/>
          <w:sz w:val="28"/>
        </w:rPr>
        <w:t>Baseline Models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57 objective  Complete the independent build for Baseline Models: Apply baseline models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baseline models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Baseline Models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Baseline Models.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“Baseline Models”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Day_57_Baseline_Models/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Beyond_ML_Internship\Day_57_Baseline_Models\evidence, Beyond_ML_Internship\Day_57_Baseline_Models\notebooks, Beyond_ML_Internship\Day_57_Baseline_Models\src, Beyond_ML_Internship\Day_57_Baseline_Models\data, Beyond_ML_Internship\Day_57_Baseline_Models\output, Beyond_ML_Internship\Day_57_Baseline_Models\report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Beyond_ML_Internship/Day_57_Baseline_Models/{evidence,notebooks,src,data,output,report}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Baseline Models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baseline models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day_57_lab.py — Independent build: Baseline Models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57 practical starter for Baseline Models.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'Baseline Models')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Baseline Models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Baseline Models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57 (Independent build) on Baseline Models.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