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67 STUDENT HANDBOOK</w:t>
      </w:r>
    </w:p>
    <w:p>
      <w:pPr>
        <w:jc w:val="center"/>
      </w:pPr>
      <w:r>
        <w:rPr>
          <w:b/>
          <w:color w:val="1E293B"/>
          <w:sz w:val="28"/>
        </w:rPr>
        <w:t>Regularized Regression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67 objective  Complete the orientation and setup for Regularized Regression: Apply regularized regression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regularized regression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Regularized Regression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Regularized Regression.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“Regularized Regression”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Day_67_Regularized_Regression/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Beyond_ML_Internship\Day_67_Regularized_Regression\evidence, Beyond_ML_Internship\Day_67_Regularized_Regression\notebooks, Beyond_ML_Internship\Day_67_Regularized_Regression\src, Beyond_ML_Internship\Day_67_Regularized_Regression\data, Beyond_ML_Internship\Day_67_Regularized_Regression\output, Beyond_ML_Internship\Day_67_Regularized_Regression\report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Beyond_ML_Internship/Day_67_Regularized_Regression/{evidence,notebooks,src,data,output,report}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Regularized Regression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regularized regression.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day_67_lab.py — Orientation and setup: Regularized Regression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67 practical starter for Regularized Regression.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'Regularized Regression')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Regularized Regression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Regularized Regression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67 (Orientation and setup) on Regularized Regression.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