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92 STUDENT HANDBOOK</w:t>
      </w:r>
    </w:p>
    <w:p>
      <w:pPr>
        <w:jc w:val="center"/>
      </w:pPr>
      <w:r>
        <w:rPr>
          <w:b/>
          <w:color w:val="1E293B"/>
          <w:sz w:val="28"/>
        </w:rPr>
        <w:t>Gradient Boosting Concepts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92 objective  Complete the guided practical for Gradient Boosting Concepts: Apply gradient boosting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gradient boosting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Gradient Boosting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Gradient Boosting Concepts.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“Gradient Boosting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Gradient Boosting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Day_92_Gradient_Boosting_Concepts/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Beyond_ML_Internship\Day_92_Gradient_Boosting_Concepts\evidence, Beyond_ML_Internship\Day_92_Gradient_Boosting_Concepts\notebooks, Beyond_ML_Internship\Day_92_Gradient_Boosting_Concepts\src, Beyond_ML_Internship\Day_92_Gradient_Boosting_Concepts\data, Beyond_ML_Internship\Day_92_Gradient_Boosting_Concepts\output, Beyond_ML_Internship\Day_92_Gradient_Boosting_Concepts\report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Beyond_ML_Internship/Day_92_Gradient_Boosting_Concepts/{evidence,notebooks,src,data,output,report}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Gradient Boosting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gradient boosting concepts.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day_92_lab.py — Guided practical: Gradient Boosting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92 practical starter for Gradient Boosting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'Gradient Boosting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Gradient Boosting Concepts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Gradient Boosting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92 (Guided practical) on Gradient Boosting Concepts.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