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102 STUDENT HANDBOOK</w:t>
      </w:r>
    </w:p>
    <w:p>
      <w:pPr>
        <w:jc w:val="center"/>
      </w:pPr>
      <w:r>
        <w:rPr>
          <w:b/>
          <w:color w:val="1E293B"/>
          <w:sz w:val="28"/>
        </w:rPr>
        <w:t>K-Nearest Neighbors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102 objective  Complete the assessment and reflection for K-Nearest Neighbors: Apply k-nearest neighbors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k-nearest neighbors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K-Nearest Neighbors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K-Nearest Neighbors.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“K-Nearest Neighbors”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K-Nearest Neighbors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Day_102_K_Nearest_Neighbors/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Beyond_ML_Internship\Day_102_K_Nearest_Neighbors\evidence, Beyond_ML_Internship\Day_102_K_Nearest_Neighbors\notebooks, Beyond_ML_Internship\Day_102_K_Nearest_Neighbors\src, Beyond_ML_Internship\Day_102_K_Nearest_Neighbors\data, Beyond_ML_Internship\Day_102_K_Nearest_Neighbors\output, Beyond_ML_Internship\Day_102_K_Nearest_Neighbors\report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Beyond_ML_Internship/Day_102_K_Nearest_Neighbors/{evidence,notebooks,src,data,output,report}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K-Nearest Neighbors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k-nearest neighbors,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day_102_lab.py — Assessment and reflection: K-Nearest Neighbors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102 practical starter for K-Nearest Neighbors.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'K-Nearest Neighbors')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K-Nearest Neighbors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K-Nearest Neighbors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102 (Assessment and reflection) on K-Nearest Neighbors.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