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105 STUDENT HANDBOOK</w:t>
      </w:r>
    </w:p>
    <w:p>
      <w:pPr>
        <w:jc w:val="center"/>
      </w:pPr>
      <w:r>
        <w:rPr>
          <w:b/>
          <w:color w:val="1E293B"/>
          <w:sz w:val="28"/>
        </w:rPr>
        <w:t>Support Vector Machines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105 objective  Complete the independent build for Support Vector Machines: Apply support vector machines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support vector machines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Support Vector Machines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Support Vector Machines.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“Support Vector Machines”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Day_105_Support_Vector_Machines/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Beyond_ML_Internship\Day_105_Support_Vector_Machines\evidence, Beyond_ML_Internship\Day_105_Support_Vector_Machines\notebooks, Beyond_ML_Internship\Day_105_Support_Vector_Machines\src, Beyond_ML_Internship\Day_105_Support_Vector_Machines\data, Beyond_ML_Internship\Day_105_Support_Vector_Machines\output, Beyond_ML_Internship\Day_105_Support_Vector_Machines\report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Beyond_ML_Internship/Day_105_Support_Vector_Machines/{evidence,notebooks,src,data,output,report}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Support Vector Machines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support vector machines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day_105_lab.py — Independent build: Support Vector Machines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105 practical starter for Support Vector Machines.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'Support Vector Machines')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Support Vector Machines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Support Vector Machines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105 (Independent build) on Support Vector Machines.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