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109 STUDENT HANDBOOK</w:t>
      </w:r>
    </w:p>
    <w:p>
      <w:pPr>
        <w:jc w:val="center"/>
      </w:pPr>
      <w:r>
        <w:rPr>
          <w:b/>
          <w:color w:val="1E293B"/>
          <w:sz w:val="28"/>
        </w:rPr>
        <w:t>Clustering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 and scikit-learn on a laptop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109 objective  Complete the orientation and setup for Clustering: Apply clustering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clustering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Clustering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Clustering.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“Clustering”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 and scikit-learn on a laptop.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 and scikit-learn on a laptop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Day_109_Clustering/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Beyond_ML_Internship\Day_109_Clustering\evidence, Beyond_ML_Internship\Day_109_Clustering\notebooks, Beyond_ML_Internship\Day_109_Clustering\src, Beyond_ML_Internship\Day_109_Clustering\data, Beyond_ML_Internship\Day_109_Clustering\output, Beyond_ML_Internship\Day_109_Clustering\report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Beyond_ML_Internship/Day_109_Clustering/{evidence,notebooks,src,data,output,report}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Clustering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clustering.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`src/day_109_lab.py`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day_109_lab.py — Orientation and setup: Clustering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109 practical starter for Clustering.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'Clustering')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Clustering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Clustering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109 (Orientation and setup) on Clustering.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