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110 STUDENT HANDBOOK</w:t>
      </w:r>
    </w:p>
    <w:p>
      <w:pPr>
        <w:jc w:val="center"/>
      </w:pPr>
      <w:r>
        <w:rPr>
          <w:b/>
          <w:color w:val="1E293B"/>
          <w:sz w:val="28"/>
        </w:rPr>
        <w:t>Clustering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110 objective  Complete the guided practical for Clustering: Apply clustering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clustering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Clustering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Clustering.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“Clustering”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Day_110_Clustering/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Beyond_ML_Internship\Day_110_Clustering\evidence, Beyond_ML_Internship\Day_110_Clustering\notebooks, Beyond_ML_Internship\Day_110_Clustering\src, Beyond_ML_Internship\Day_110_Clustering\data, Beyond_ML_Internship\Day_110_Clustering\output, Beyond_ML_Internship\Day_110_Clustering\report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Beyond_ML_Internship/Day_110_Clustering/{evidence,notebooks,src,data,output,report}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Clustering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clustering.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day_110_lab.py — Guided practical: Clustering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110 practical starter for Clustering.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'Clustering')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Clustering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Clustering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110 (Guided practical) on Clustering.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