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117 STUDENT HANDBOOK</w:t>
      </w:r>
    </w:p>
    <w:p>
      <w:pPr>
        <w:jc w:val="center"/>
      </w:pPr>
      <w:r>
        <w:rPr>
          <w:b/>
          <w:color w:val="1E293B"/>
          <w:sz w:val="28"/>
        </w:rPr>
        <w:t>Dimensionality Reduction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117 objective  Complete the independent build for Dimensionality Reduction: Apply dimensionality reduction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dimensionality reduction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Dimensionality Reduction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Dimensionality Reduction.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“Dimensionality Reduction”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Dimensionality Reduction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Day_117_Dimensionality_Reduction/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Beyond_ML_Internship\Day_117_Dimensionality_Reduction\evidence, Beyond_ML_Internship\Day_117_Dimensionality_Reduction\notebooks, Beyond_ML_Internship\Day_117_Dimensionality_Reduction\src, Beyond_ML_Internship\Day_117_Dimensionality_Reduction\data, Beyond_ML_Internship\Day_117_Dimensionality_Reduction\output, Beyond_ML_Internship\Day_117_Dimensionality_Reduction\report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Beyond_ML_Internship/Day_117_Dimensionality_Reduction/{evidence,notebooks,src,data,output,report}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Dimensionality Reduction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dimensionality reduction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day_117_lab.py — Independent build: Dimensionality Reduction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117 practical starter for Dimensionality Reduction.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'Dimensionality Reduction')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Dimensionality Reduction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Dimensionality Reduction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117 (Independent build) on Dimensionality Reduction.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