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138 STUDENT HANDBOOK</w:t>
      </w:r>
    </w:p>
    <w:p>
      <w:pPr>
        <w:jc w:val="center"/>
      </w:pPr>
      <w:r>
        <w:rPr>
          <w:b/>
          <w:color w:val="1E293B"/>
          <w:sz w:val="28"/>
        </w:rPr>
        <w:t>Cross-Validation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138 objective  Complete the assessment and reflection for Cross-Validation: Apply cross-validation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cross-validation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Cross-Validation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Cross-Validation.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“Cross-Validation”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Cross-Validation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Day_138_Cross_Validation/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Beyond_ML_Internship\Day_138_Cross_Validation\evidence, Beyond_ML_Internship\Day_138_Cross_Validation\notebooks, Beyond_ML_Internship\Day_138_Cross_Validation\src, Beyond_ML_Internship\Day_138_Cross_Validation\data, Beyond_ML_Internship\Day_138_Cross_Validation\output, Beyond_ML_Internship\Day_138_Cross_Validation\report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Beyond_ML_Internship/Day_138_Cross_Validation/{evidence,notebooks,src,data,output,report}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Cross-Validation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cross-validation,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day_138_lab.py — Assessment and reflection: Cross-Validation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138 practical starter for Cross-Validation.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'Cross-Validation')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Cross-Validation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Cross-Validation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138 (Assessment and reflection) on Cross-Validation.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