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139 STUDENT HANDBOOK</w:t>
      </w:r>
    </w:p>
    <w:p>
      <w:pPr>
        <w:jc w:val="center"/>
      </w:pPr>
      <w:r>
        <w:rPr>
          <w:b/>
          <w:color w:val="1E293B"/>
          <w:sz w:val="28"/>
        </w:rPr>
        <w:t>Hyperparameter Tuning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139 objective  Complete the orientation and setup for Hyperparameter Tuning: Apply hyperparameter tuning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hyperparameter tuning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Hyperparameter Tuning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Hyperparameter Tuning.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“Hyperparameter Tuning”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Hyperparameter Tuning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Day_139_Hyperparameter_Tuning/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Beyond_ML_Internship\Day_139_Hyperparameter_Tuning\evidence, Beyond_ML_Internship\Day_139_Hyperparameter_Tuning\notebooks, Beyond_ML_Internship\Day_139_Hyperparameter_Tuning\src, Beyond_ML_Internship\Day_139_Hyperparameter_Tuning\data, Beyond_ML_Internship\Day_139_Hyperparameter_Tuning\output, Beyond_ML_Internship\Day_139_Hyperparameter_Tuning\report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Beyond_ML_Internship/Day_139_Hyperparameter_Tuning/{evidence,notebooks,src,data,output,report}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Hyperparameter Tuning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hyperparameter tuning.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day_139_lab.py — Orientation and setup: Hyperparameter Tuning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139 practical starter for Hyperparameter Tuning.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'Hyperparameter Tuning')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Hyperparameter Tuning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Hyperparameter Tuning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139 (Orientation and setup) on Hyperparameter Tuning.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