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145 STUDENT HANDBOOK</w:t>
      </w:r>
    </w:p>
    <w:p>
      <w:pPr>
        <w:jc w:val="center"/>
      </w:pPr>
      <w:r>
        <w:rPr>
          <w:b/>
          <w:color w:val="1E293B"/>
          <w:sz w:val="28"/>
        </w:rPr>
        <w:t>Pipelines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145 objective  Complete the orientation and setup for Pipelines: Apply pipelines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pipelines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Pipelines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Pipelines.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“Pipelines”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Pipelines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Day_145_Pipelines/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Beyond_ML_Internship\Day_145_Pipelines\evidence, Beyond_ML_Internship\Day_145_Pipelines\notebooks, Beyond_ML_Internship\Day_145_Pipelines\src, Beyond_ML_Internship\Day_145_Pipelines\data, Beyond_ML_Internship\Day_145_Pipelines\output, Beyond_ML_Internship\Day_145_Pipelines\report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Beyond_ML_Internship/Day_145_Pipelines/{evidence,notebooks,src,data,output,report}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Pipelines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pipelines.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day_145_lab.py — Orientation and setup: Pipelines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145 practical starter for Pipelines.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'Pipelines')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Pipelines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Pipelines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145 (Orientation and setup) on Pipelines.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