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169 STUDENT HANDBOOK</w:t>
      </w:r>
    </w:p>
    <w:p>
      <w:pPr>
        <w:jc w:val="center"/>
      </w:pPr>
      <w:r>
        <w:rPr>
          <w:b/>
          <w:color w:val="1E293B"/>
          <w:sz w:val="28"/>
        </w:rPr>
        <w:t>End-To-End Local Model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169 objective  Complete the orientation and setup for End-To-End Local Model: Apply end-to-end local model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end-to-end local model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End-To-End Local Model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End-To-End Local Model.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“End-To-End Local Model”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Day_169_End_To_End_Local_Model/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Beyond_ML_Internship\Day_169_End_To_End_Local_Model\evidence, Beyond_ML_Internship\Day_169_End_To_End_Local_Model\notebooks, Beyond_ML_Internship\Day_169_End_To_End_Local_Model\src, Beyond_ML_Internship\Day_169_End_To_End_Local_Model\data, Beyond_ML_Internship\Day_169_End_To_End_Local_Model\output, Beyond_ML_Internship\Day_169_End_To_End_Local_Model\report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Beyond_ML_Internship/Day_169_End_To_End_Local_Model/{evidence,notebooks,src,data,output,report}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End-To-End Local Model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end-to-end local model.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day_169_lab.py — Orientation and setup: End-To-End Local Model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169 practical starter for End-To-End Local Model.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'End-To-End Local Model')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End-To-End Local Model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End-To-End Local Model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169 (Orientation and setup) on End-To-End Local Model.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