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17 STUDENT HANDBOOK</w:t>
      </w:r>
    </w:p>
    <w:p>
      <w:pPr>
        <w:jc w:val="center"/>
      </w:pPr>
      <w:r>
        <w:rPr>
          <w:b/>
          <w:color w:val="1E293B"/>
          <w:sz w:val="28"/>
        </w:rPr>
        <w:t>Osi And Tcp/Ip Models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 objective  Complete the document and improve for Osi And Tcp/Ip Models: Apply OSI and TCP/IP models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OSI and TCP/IP models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Osi And Tcp/Ip Models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Osi And Tcp/Ip Models.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“Osi And Tcp/Ip Models”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Day_17_Osi_And_Tcp_Ip_Models/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Beyond_Networking_Internship\Day_17_Osi_And_Tcp_Ip_Models\evidence, Beyond_Networking_Internship\Day_17_Osi_And_Tcp_Ip_Models\notebooks, Beyond_Networking_Internship\Day_17_Osi_And_Tcp_Ip_Models\src, Beyond_Networking_Internship\Day_17_Osi_And_Tcp_Ip_Models\data, Beyond_Networking_Internship\Day_17_Osi_And_Tcp_Ip_Models\output, Beyond_Networking_Internship\Day_17_Osi_And_Tcp_Ip_Models\report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Beyond_Networking_Internship/Day_17_Osi_And_Tcp_Ip_Models/{evidence,notebooks,src,data,output,report}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Osi And Tcp/Ip Models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OSI and TCP/IP models,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day_17_lab.py — Document and improve: Osi And Tcp/Ip Models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 practical starter for Osi And Tcp/Ip Models.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'Osi And Tcp/Ip Models')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Osi And Tcp/Ip Models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Osi And Tcp/Ip Models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 (Document and improve) on Osi And Tcp/Ip Models.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