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21 STUDENT HANDBOOK</w:t>
      </w:r>
    </w:p>
    <w:p>
      <w:pPr>
        <w:jc w:val="center"/>
      </w:pPr>
      <w:r>
        <w:rPr>
          <w:b/>
          <w:color w:val="1E293B"/>
          <w:sz w:val="28"/>
        </w:rPr>
        <w:t>Binary And Ipv4 Addressing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21 objective  Complete the independent build for Binary And Ipv4 Addressing: Apply binary and IPv4 addressing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binary and IPv4 addressing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Binary And Ipv4 Addressing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Binary And Ipv4 Addressing.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“Binary And Ipv4 Addressing”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Day_21_Binary_And_Ipv4_Addressing/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Beyond_Networking_Internship\Day_21_Binary_And_Ipv4_Addressing\evidence, Beyond_Networking_Internship\Day_21_Binary_And_Ipv4_Addressing\notebooks, Beyond_Networking_Internship\Day_21_Binary_And_Ipv4_Addressing\src, Beyond_Networking_Internship\Day_21_Binary_And_Ipv4_Addressing\data, Beyond_Networking_Internship\Day_21_Binary_And_Ipv4_Addressing\output, Beyond_Networking_Internship\Day_21_Binary_And_Ipv4_Addressing\report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Beyond_Networking_Internship/Day_21_Binary_And_Ipv4_Addressing/{evidence,notebooks,src,data,output,report}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Binary And Ipv4 Addressing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binary and IPv4 addressing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day_21_lab.py — Independent build: Binary And Ipv4 Addressing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21 practical starter for Binary And Ipv4 Addressing.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'Binary And Ipv4 Addressing')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Binary And Ipv4 Addressing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Binary And Ipv4 Addressing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21 (Independent build) on Binary And Ipv4 Addressing.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