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27 STUDENT HANDBOOK</w:t>
      </w:r>
    </w:p>
    <w:p>
      <w:pPr>
        <w:jc w:val="center"/>
      </w:pPr>
      <w:r>
        <w:rPr>
          <w:b/>
          <w:color w:val="1E293B"/>
          <w:sz w:val="28"/>
        </w:rPr>
        <w:t>Subnetting And Vlsm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27 objective  Complete the independent build for Subnetting And Vlsm: Apply subnetting and VLSM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subnetting and VLSM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Subnetting And Vlsm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Subnetting And Vlsm.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“Subnetting And Vlsm”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Day_27_Subnetting_And_Vlsm/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Beyond_Networking_Internship\Day_27_Subnetting_And_Vlsm\evidence, Beyond_Networking_Internship\Day_27_Subnetting_And_Vlsm\notebooks, Beyond_Networking_Internship\Day_27_Subnetting_And_Vlsm\src, Beyond_Networking_Internship\Day_27_Subnetting_And_Vlsm\data, Beyond_Networking_Internship\Day_27_Subnetting_And_Vlsm\output, Beyond_Networking_Internship\Day_27_Subnetting_And_Vlsm\report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Beyond_Networking_Internship/Day_27_Subnetting_And_Vlsm/{evidence,notebooks,src,data,output,report}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Subnetting And Vlsm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subnetting and VLSM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day_27_lab.py — Independent build: Subnetting And Vlsm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27 practical starter for Subnetting And Vlsm.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'Subnetting And Vlsm')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Subnetting And Vlsm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Subnetting And Vlsm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27 (Independent build) on Subnetting And Vlsm.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