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45 STUDENT HANDBOOK</w:t>
      </w:r>
    </w:p>
    <w:p>
      <w:pPr>
        <w:jc w:val="center"/>
      </w:pPr>
      <w:r>
        <w:rPr>
          <w:b/>
          <w:color w:val="1E293B"/>
          <w:sz w:val="28"/>
        </w:rPr>
        <w:t>Ethernet Switching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45 objective  Complete the independent build for Ethernet Switching: Apply Ethernet switching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Ethernet switching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Ethernet Switching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Ethernet Switching.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“Ethernet Switching”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Day_45_Ethernet_Switching/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Beyond_Networking_Internship\Day_45_Ethernet_Switching\evidence, Beyond_Networking_Internship\Day_45_Ethernet_Switching\notebooks, Beyond_Networking_Internship\Day_45_Ethernet_Switching\src, Beyond_Networking_Internship\Day_45_Ethernet_Switching\data, Beyond_Networking_Internship\Day_45_Ethernet_Switching\output, Beyond_Networking_Internship\Day_45_Ethernet_Switching\report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Beyond_Networking_Internship/Day_45_Ethernet_Switching/{evidence,notebooks,src,data,output,report}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Ethernet Switching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Ethernet switching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day_45_lab.py — Independent build: Ethernet Switching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45 practical starter for Ethernet Switching.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'Ethernet Switching')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Ethernet Switching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Ethernet Switching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45 (Independent build) on Ethernet Switching.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