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66 STUDENT HANDBOOK</w:t>
      </w:r>
    </w:p>
    <w:p>
      <w:pPr>
        <w:jc w:val="center"/>
      </w:pPr>
      <w:r>
        <w:rPr>
          <w:b/>
          <w:color w:val="1E293B"/>
          <w:sz w:val="28"/>
        </w:rPr>
        <w:t>Spanning Tree Protocol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66 objective  Complete the assessment and reflection for Spanning Tree Protocol: Apply Spanning Tree Protocol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Spanning Tree Protocol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Spanning Tree Protocol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Spanning Tree Protocol.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“Spanning Tree Protocol”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Spanning Tree Protocol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Day_66_Spanning_Tree_Protocol/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Beyond_Networking_Internship\Day_66_Spanning_Tree_Protocol\evidence, Beyond_Networking_Internship\Day_66_Spanning_Tree_Protocol\notebooks, Beyond_Networking_Internship\Day_66_Spanning_Tree_Protocol\src, Beyond_Networking_Internship\Day_66_Spanning_Tree_Protocol\data, Beyond_Networking_Internship\Day_66_Spanning_Tree_Protocol\output, Beyond_Networking_Internship\Day_66_Spanning_Tree_Protocol\report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Beyond_Networking_Internship/Day_66_Spanning_Tree_Protocol/{evidence,notebooks,src,data,output,report}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Spanning Tree Protocol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Spanning Tree Protocol,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`src/day_66_lab.py`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day_66_lab.py — Assessment and reflection: Spanning Tree Protocol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66 practical starter for Spanning Tree Protocol.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'Spanning Tree Protocol')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Spanning Tree Protocol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Spanning Tree Protocol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66 (Assessment and reflection) on Spanning Tree Protocol.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