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73 STUDENT HANDBOOK</w:t>
      </w:r>
    </w:p>
    <w:p>
      <w:pPr>
        <w:jc w:val="center"/>
      </w:pPr>
      <w:r>
        <w:rPr>
          <w:b/>
          <w:color w:val="1E293B"/>
          <w:sz w:val="28"/>
        </w:rPr>
        <w:t>Static Routing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73 objective  Complete the orientation and setup for Static Routing: Apply static routing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static routing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Static Routing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Static Routing.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“Static Routing”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Day_73_Static_Routing/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Beyond_Networking_Internship\Day_73_Static_Routing\evidence, Beyond_Networking_Internship\Day_73_Static_Routing\notebooks, Beyond_Networking_Internship\Day_73_Static_Routing\src, Beyond_Networking_Internship\Day_73_Static_Routing\data, Beyond_Networking_Internship\Day_73_Static_Routing\output, Beyond_Networking_Internship\Day_73_Static_Routing\report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Beyond_Networking_Internship/Day_73_Static_Routing/{evidence,notebooks,src,data,output,report}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Static Routing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static routing.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`src/day_73_lab.py`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day_73_lab.py — Orientation and setup: Static Routing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73 practical starter for Static Routing.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'Static Routing')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Static Routing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Static Routing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73 (Orientation and setup) on Static Routing.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