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77 STUDENT HANDBOOK</w:t>
      </w:r>
    </w:p>
    <w:p>
      <w:pPr>
        <w:jc w:val="center"/>
      </w:pPr>
      <w:r>
        <w:rPr>
          <w:b/>
          <w:color w:val="1E293B"/>
          <w:sz w:val="28"/>
        </w:rPr>
        <w:t>Static Routing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77 objective  Complete the document and improve for Static Routing: Apply static routing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static routing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Static Routing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Static Routing.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“Static Routing”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Day_77_Static_Routing/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Beyond_Networking_Internship\Day_77_Static_Routing\evidence, Beyond_Networking_Internship\Day_77_Static_Routing\notebooks, Beyond_Networking_Internship\Day_77_Static_Routing\src, Beyond_Networking_Internship\Day_77_Static_Routing\data, Beyond_Networking_Internship\Day_77_Static_Routing\output, Beyond_Networking_Internship\Day_77_Static_Routing\report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Beyond_Networking_Internship/Day_77_Static_Routing/{evidence,notebooks,src,data,output,report}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Static Routing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static routing,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day_77_lab.py — Document and improve: Static Routing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77 practical starter for Static Routing.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'Static Routing')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Static Routing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Static Routing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77 (Document and improve) on Static Routing.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