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98 STUDENT HANDBOOK</w:t>
      </w:r>
    </w:p>
    <w:p>
      <w:pPr>
        <w:jc w:val="center"/>
      </w:pPr>
      <w:r>
        <w:rPr>
          <w:b/>
          <w:color w:val="1E293B"/>
          <w:sz w:val="28"/>
        </w:rPr>
        <w:t>Wireless Lan Design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98 objective  Complete the guided practical for Wireless Lan Design: Apply wireless LAN design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wireless LAN design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Wireless Lan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Wireless Lan Design.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“Wireless Lan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Day_98_Wireless_Lan_Design/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Beyond_Networking_Internship\Day_98_Wireless_Lan_Design\evidence, Beyond_Networking_Internship\Day_98_Wireless_Lan_Design\notebooks, Beyond_Networking_Internship\Day_98_Wireless_Lan_Design\src, Beyond_Networking_Internship\Day_98_Wireless_Lan_Design\data, Beyond_Networking_Internship\Day_98_Wireless_Lan_Design\output, Beyond_Networking_Internship\Day_98_Wireless_Lan_Design\report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Beyond_Networking_Internship/Day_98_Wireless_Lan_Design/{evidence,notebooks,src,data,output,report}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Wireless Lan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wireless LAN design.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day_98_lab.py — Guided practical: Wireless Lan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98 practical starter for Wireless Lan Design.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'Wireless Lan Design')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Wireless Lan Design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Wireless Lan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98 (Guided practical) on Wireless Lan Design.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