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115 STUDENT HANDBOOK</w:t>
      </w:r>
    </w:p>
    <w:p>
      <w:pPr>
        <w:jc w:val="center"/>
      </w:pPr>
      <w:r>
        <w:rPr>
          <w:b/>
          <w:color w:val="1E293B"/>
          <w:sz w:val="28"/>
        </w:rPr>
        <w:t>Site-To-Site Connectivity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115 objective  Complete the orientation and setup for Site-To-Site Connectivity: Apply site-to-site connectivity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site-to-site connectivity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Site-To-Site Connectivity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Site-To-Site Connectivity.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“Site-To-Site Connectivity”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Site-To-Site Connectivity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Day_115_Site_To_Site_Connectivity/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Beyond_Networking_Internship\Day_115_Site_To_Site_Connectivity\evidence, Beyond_Networking_Internship\Day_115_Site_To_Site_Connectivity\notebooks, Beyond_Networking_Internship\Day_115_Site_To_Site_Connectivity\src, Beyond_Networking_Internship\Day_115_Site_To_Site_Connectivity\data, Beyond_Networking_Internship\Day_115_Site_To_Site_Connectivity\output, Beyond_Networking_Internship\Day_115_Site_To_Site_Connectivity\report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Beyond_Networking_Internship/Day_115_Site_To_Site_Connectivity/{evidence,notebooks,src,data,output,report}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Site-To-Site Connectivity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site-to-site connectivity.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day_115_lab.py — Orientation and setup: Site-To-Site Connectivity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115 practical starter for Site-To-Site Connectivity.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'Site-To-Site Connectivity')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Site-To-Site Connectivity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Site-To-Site Connectivity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115 (Orientation and setup) on Site-To-Site Connectivity.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