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116 STUDENT HANDBOOK</w:t>
      </w:r>
    </w:p>
    <w:p>
      <w:pPr>
        <w:jc w:val="center"/>
      </w:pPr>
      <w:r>
        <w:rPr>
          <w:b/>
          <w:color w:val="1E293B"/>
          <w:sz w:val="28"/>
        </w:rPr>
        <w:t>Site-To-Site Connectivity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116 objective  Complete the guided practical for Site-To-Site Connectivity: Apply site-to-site connectivity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site-to-site connectivity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Site-To-Site Connectivity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Site-To-Site Connectivity.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“Site-To-Site Connectivity”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Site-To-Site Connectivity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Day_116_Site_To_Site_Connectivity/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Beyond_Networking_Internship\Day_116_Site_To_Site_Connectivity\evidence, Beyond_Networking_Internship\Day_116_Site_To_Site_Connectivity\notebooks, Beyond_Networking_Internship\Day_116_Site_To_Site_Connectivity\src, Beyond_Networking_Internship\Day_116_Site_To_Site_Connectivity\data, Beyond_Networking_Internship\Day_116_Site_To_Site_Connectivity\output, Beyond_Networking_Internship\Day_116_Site_To_Site_Connectivity\report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Beyond_Networking_Internship/Day_116_Site_To_Site_Connectivity/{evidence,notebooks,src,data,output,report}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Site-To-Site Connectivity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site-to-site connectivity.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day_116_lab.py — Guided practical: Site-To-Site Connectivity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116 practical starter for Site-To-Site Connectivity.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'Site-To-Site Connectivity')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Site-To-Site Connectivity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Site-To-Site Connectivity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116 (Guided practical) on Site-To-Site Connectivity.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