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168 STUDENT HANDBOOK</w:t>
      </w:r>
    </w:p>
    <w:p>
      <w:pPr>
        <w:jc w:val="center"/>
      </w:pPr>
      <w:r>
        <w:rPr>
          <w:b/>
          <w:color w:val="1E293B"/>
          <w:sz w:val="28"/>
        </w:rPr>
        <w:t>Fault Isolation Methodology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168 objective  Complete the assessment and reflection for Fault Isolation Methodology: Apply fault isolation methodology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fault isolation methodology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Fault Isolation Methodology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Fault Isolation Methodology.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“Fault Isolation Methodology”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Fault Isolation Methodology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Day_168_Fault_Isolation_Methodology/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Beyond_Networking_Internship\Day_168_Fault_Isolation_Methodology\evidence, Beyond_Networking_Internship\Day_168_Fault_Isolation_Methodology\notebooks, Beyond_Networking_Internship\Day_168_Fault_Isolation_Methodology\src, Beyond_Networking_Internship\Day_168_Fault_Isolation_Methodology\data, Beyond_Networking_Internship\Day_168_Fault_Isolation_Methodology\output, Beyond_Networking_Internship\Day_168_Fault_Isolation_Methodology\report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Beyond_Networking_Internship/Day_168_Fault_Isolation_Methodology/{evidence,notebooks,src,data,output,report}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Fault Isolation Methodology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fault isolation methodology,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day_168_lab.py — Assessment and reflection: Fault Isolation Methodology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168 practical starter for Fault Isolation Methodology.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'Fault Isolation Methodology')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Fault Isolation Methodology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Fault Isolation Methodology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168 (Assessment and reflection) on Fault Isolation Methodology.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