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171 STUDENT HANDBOOK</w:t>
      </w:r>
    </w:p>
    <w:p>
      <w:pPr>
        <w:jc w:val="center"/>
      </w:pPr>
      <w:r>
        <w:rPr>
          <w:b/>
          <w:color w:val="1E293B"/>
          <w:sz w:val="28"/>
        </w:rPr>
        <w:t>Complete Rural-Site Deployment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171 objective  Complete the independent build for Complete Rural-Site Deployment: Apply complete rural-site deployment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complete rural-site deployment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Complete Rural-Site Deployment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Complete Rural-Site Deployment.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“Complete Rural-Site Deployment”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Complete Rural-Site Deployment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Day_171_Complete_Rural_Site_Deployment/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Beyond_Networking_Internship\Day_171_Complete_Rural_Site_Deployment\evidence, Beyond_Networking_Internship\Day_171_Complete_Rural_Site_Deployment\notebooks, Beyond_Networking_Internship\Day_171_Complete_Rural_Site_Deployment\src, Beyond_Networking_Internship\Day_171_Complete_Rural_Site_Deployment\data, Beyond_Networking_Internship\Day_171_Complete_Rural_Site_Deployment\output, Beyond_Networking_Internship\Day_171_Complete_Rural_Site_Deployment\report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Beyond_Networking_Internship/Day_171_Complete_Rural_Site_Deployment/{evidence,notebooks,src,data,output,report}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Complete Rural-Site Deployment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complete rural-site deployment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day_171_lab.py — Independent build: Complete Rural-Site Deployment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171 practical starter for Complete Rural-Site Deployment.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'Complete Rural-Site Deployment')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Complete Rural-Site Deployment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Complete Rural-Site Deployment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171 (Independent build) on Complete Rural-Site Deployment.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