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172 STUDENT HANDBOOK</w:t>
      </w:r>
    </w:p>
    <w:p>
      <w:pPr>
        <w:jc w:val="center"/>
      </w:pPr>
      <w:r>
        <w:rPr>
          <w:b/>
          <w:color w:val="1E293B"/>
          <w:sz w:val="28"/>
        </w:rPr>
        <w:t>Complete Rural-Site Deployment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172 objective  Complete the troubleshoot for Complete Rural-Site Deployment: Apply complete rural-site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complete rural-site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Complete Rural-Site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Complete Rural-Site Deployment.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“Complete Rural-Site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Complete Rural-Site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Day_172_Complete_Rural_Site_Deployment/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Beyond_Networking_Internship\Day_172_Complete_Rural_Site_Deployment\evidence, Beyond_Networking_Internship\Day_172_Complete_Rural_Site_Deployment\notebooks, Beyond_Networking_Internship\Day_172_Complete_Rural_Site_Deployment\src, Beyond_Networking_Internship\Day_172_Complete_Rural_Site_Deployment\data, Beyond_Networking_Internship\Day_172_Complete_Rural_Site_Deployment\output, Beyond_Networking_Internship\Day_172_Complete_Rural_Site_Deployment\report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Beyond_Networking_Internship/Day_172_Complete_Rural_Site_Deployment/{evidence,notebooks,src,data,output,report}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Complete Rural-Site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complete rural-site deployment.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day_172_lab.py — Troubleshoot: Complete Rural-Site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172 practical starter for Complete Rural-Site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'Complete Rural-Site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Complete Rural-Site Deployment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Complete Rural-Site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172 (Troubleshoot) on Complete Rural-Site Deployment.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