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175 STUDENT HANDBOOK</w:t>
      </w:r>
    </w:p>
    <w:p>
      <w:pPr>
        <w:jc w:val="center"/>
      </w:pPr>
      <w:r>
        <w:rPr>
          <w:b/>
          <w:color w:val="1E293B"/>
          <w:sz w:val="28"/>
        </w:rPr>
        <w:t>Capstone Support And Handover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175 objective  Complete the orientation and setup for Capstone Support And Handover: Apply capstone support and handover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support and handover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Support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Support And Handover.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Support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Support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Day_175_Capstone_Support_And_Handover/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Beyond_Networking_Internship\Day_175_Capstone_Support_And_Handover\evidence, Beyond_Networking_Internship\Day_175_Capstone_Support_And_Handover\notebooks, Beyond_Networking_Internship\Day_175_Capstone_Support_And_Handover\src, Beyond_Networking_Internship\Day_175_Capstone_Support_And_Handover\data, Beyond_Networking_Internship\Day_175_Capstone_Support_And_Handover\output, Beyond_Networking_Internship\Day_175_Capstone_Support_And_Handover\report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Beyond_Networking_Internship/Day_175_Capstone_Support_And_Handover/{evidence,notebooks,src,data,output,report}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Capstone Support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capstone support and handover.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day_175_lab.py — Orientation and setup: Capstone Support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175 practical starter for Capstone Support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Support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Support And Handover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Support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175 (Orientation and setup) on Capstone Support And Handover.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