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15 STUDENT HANDBOOK</w:t>
      </w:r>
    </w:p>
    <w:p>
      <w:pPr>
        <w:jc w:val="center"/>
      </w:pPr>
      <w:r>
        <w:rPr>
          <w:b/>
          <w:color w:val="1E293B"/>
          <w:sz w:val="28"/>
        </w:rPr>
        <w:t>Resolution Frame Rate And Aspect Ratio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 objective  Complete the independent build for Resolution Frame Rate And Aspect Ratio: Apply resolution frame rate and aspect ratio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resolution frame rate and aspect ratio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Resolution Frame Rate And Aspect Ratio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Resolution Frame Rate And Aspect Ratio.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“Resolution Frame Rate And Aspect Ratio”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Day_15_Resolution_Frame_Rate_And_Aspect_Ratio/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Resolution Frame Rate And Aspect Ratio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resolution frame rate and aspect ratio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Resolution Frame Rate And Aspect Ratio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"Resolution Frame Rate And Aspect Ratio"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Resolution Frame Rate And Aspect Ratio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Resolution Frame Rate And Aspect Ratio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 (Independent build) on Resolution Frame Rate And Aspect Ratio.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