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80 STUDENT HANDBOOK</w:t>
      </w:r>
    </w:p>
    <w:p>
      <w:pPr>
        <w:jc w:val="center"/>
      </w:pPr>
      <w:r>
        <w:rPr>
          <w:b/>
          <w:color w:val="1E293B"/>
          <w:sz w:val="28"/>
        </w:rPr>
        <w:t>Sources And Input Management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80 objective  Complete the guided practical for Sources And Input Management: Apply sources and input management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sources and input management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Sources And Input Management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Sources And Input Management.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“Sources And Input Management”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Sources And Input Management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Day_80_Sources_And_Input_Management/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Sources And Input Management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sources and input management.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Sources And Input Management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"Sources And Input Management"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Sources And Input Management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Sources And Input Management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80 (Guided practical) on Sources And Input Management.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