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81 STUDENT HANDBOOK</w:t>
      </w:r>
    </w:p>
    <w:p>
      <w:pPr>
        <w:jc w:val="center"/>
      </w:pPr>
      <w:r>
        <w:rPr>
          <w:b/>
          <w:color w:val="1E293B"/>
          <w:sz w:val="28"/>
        </w:rPr>
        <w:t>Sources And Input Management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81 objective  Complete the independent build for Sources And Input Management: Apply sources and input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sources and input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Sources And Input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Sources And Input Management.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“Sources And Input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Sources And Input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Day_81_Sources_And_Input_Management/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Sources And Input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sources and input management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Sources And Input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"Sources And Input Management"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Sources And Input Management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Sources And Input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81 (Independent build) on Sources And Input Management.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