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134 STUDENT HANDBOOK</w:t>
      </w:r>
    </w:p>
    <w:p>
      <w:pPr>
        <w:jc w:val="center"/>
      </w:pPr>
      <w:r>
        <w:rPr>
          <w:b/>
          <w:color w:val="1E293B"/>
          <w:sz w:val="28"/>
        </w:rPr>
        <w:t>Audio-Video Synchronization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134 objective  Complete the guided practical for Audio-Video Synchronization: Apply audio-video synchronization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audio-video synchronization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Audio-Video Synchronization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Audio-Video Synchronization.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“Audio-Video Synchronization”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Day_134_Audio_Video_Synchronization/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Audio-Video Synchronization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audio-video synchronization.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Audio-Video Synchronization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"Audio-Video Synchronization"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Audio-Video Synchronization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Audio-Video Synchronization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134 (Guided practical) on Audio-Video Synchronization.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