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153 STUDENT HANDBOOK</w:t>
      </w:r>
    </w:p>
    <w:p>
      <w:pPr>
        <w:jc w:val="center"/>
      </w:pPr>
      <w:r>
        <w:rPr>
          <w:b/>
          <w:color w:val="1E293B"/>
          <w:sz w:val="28"/>
        </w:rPr>
        <w:t>Redundancy And Backup Content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153 objective  Complete the independent build for Redundancy And Backup Content: Apply redundancy and backup content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redundancy and backup content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Redundancy And Backup Content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Redundancy And Backup Content.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“Redundancy And Backup Content”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Redundancy And Backup Content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Day_153_Redundancy_And_Backup_Content/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Redundancy And Backup Content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redundancy and backup content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Redundancy And Backup Content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"Redundancy And Backup Content"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Redundancy And Backup Content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Redundancy And Backup Content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153 (Independent build) on Redundancy And Backup Content.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