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159 STUDENT HANDBOOK</w:t>
      </w:r>
    </w:p>
    <w:p>
      <w:pPr>
        <w:jc w:val="center"/>
      </w:pPr>
      <w:r>
        <w:rPr>
          <w:b/>
          <w:color w:val="1E293B"/>
          <w:sz w:val="28"/>
        </w:rPr>
        <w:t>Fault Isolation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159 objective  Complete the independent build for Fault Isolation: Apply fault isolation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fault isolation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Fault Isolation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Fault Isolation.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“Fault Isolation”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Fault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Day_159_Fault_Isolation/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Fault Isolation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fault isolation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Fault Isolation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"Fault Isolation"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Fault Isolation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Fault Isolation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159 (Independent build) on Fault Isolation.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