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174 STUDENT HANDBOOK</w:t>
      </w:r>
    </w:p>
    <w:p>
      <w:pPr>
        <w:jc w:val="center"/>
      </w:pPr>
      <w:r>
        <w:rPr>
          <w:b/>
          <w:color w:val="1E293B"/>
          <w:sz w:val="28"/>
        </w:rPr>
        <w:t>Concert Screen Workflow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174 objective  Complete the assessment and reflection for Concert Screen Workflow: Apply concert screen workflow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concert screen workflow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Concert Screen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Concert Screen Workflow.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“Concert Screen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Concert Screen Workflow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Day_174_Concert_Screen_Workflow/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Concert Screen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concert screen workflow,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Concert Screen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"Concert Screen Workflow"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Concert Screen Workflow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Concert Screen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174 (Assessment and reflection) on Concert Screen Workflow.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