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25 STUDENT HANDBOOK</w:t>
      </w:r>
    </w:p>
    <w:p>
      <w:pPr>
        <w:jc w:val="center"/>
      </w:pPr>
      <w:r>
        <w:rPr>
          <w:b/>
          <w:color w:val="1E293B"/>
          <w:sz w:val="28"/>
        </w:rPr>
        <w:t>Html Semantics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25 objective  Complete the orientation and setup for Html Semantics: Apply HTML semantics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HTML semantics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Html Semantics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Html Semantics.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“Html Semantics”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Html Semantics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Day_25_Html_Semantics/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Beyond_SoftwareDev_Internship\Day_25_Html_Semantics\evidence, Beyond_SoftwareDev_Internship\Day_25_Html_Semantics\notebooks, Beyond_SoftwareDev_Internship\Day_25_Html_Semantics\src, Beyond_SoftwareDev_Internship\Day_25_Html_Semantics\data, Beyond_SoftwareDev_Internship\Day_25_Html_Semantics\output, Beyond_SoftwareDev_Internship\Day_25_Html_Semantics\report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Beyond_SoftwareDev_Internship/Day_25_Html_Semantics/{evidence,notebooks,src,data,output,report}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Html Semantics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HTML semantics.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`src/day_25_lab.py`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day_25_lab.py — Orientation and setup: Html Semantics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25 practical starter for Html Semantics.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'Html Semantics')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Html Semantics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Html Semantics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25 (Orientation and setup) on Html Semantics.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