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79 STUDENT HANDBOOK</w:t>
      </w:r>
    </w:p>
    <w:p>
      <w:pPr>
        <w:jc w:val="center"/>
      </w:pPr>
      <w:r>
        <w:rPr>
          <w:b/>
          <w:color w:val="1E293B"/>
          <w:sz w:val="28"/>
        </w:rPr>
        <w:t>Routing And Controllers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79 objective  Complete the orientation and setup for Routing And Controllers: Apply routing and controllers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routing and controllers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Routing And Controllers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Routing And Controllers.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“Routing And Controllers”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Day_79_Routing_And_Controllers/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Beyond_SoftwareDev_Internship\Day_79_Routing_And_Controllers\evidence, Beyond_SoftwareDev_Internship\Day_79_Routing_And_Controllers\notebooks, Beyond_SoftwareDev_Internship\Day_79_Routing_And_Controllers\src, Beyond_SoftwareDev_Internship\Day_79_Routing_And_Controllers\data, Beyond_SoftwareDev_Internship\Day_79_Routing_And_Controllers\output, Beyond_SoftwareDev_Internship\Day_79_Routing_And_Controllers\report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Beyond_SoftwareDev_Internship/Day_79_Routing_And_Controllers/{evidence,notebooks,src,data,output,report}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Routing And Controllers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routing and controllers.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day_79_lab.py — Orientation and setup: Routing And Controllers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79 practical starter for Routing And Controllers.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'Routing And Controllers')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Routing And Controllers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Routing And Controllers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79 (Orientation and setup) on Routing And Controllers.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