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115 STUDENT HANDBOOK</w:t>
      </w:r>
    </w:p>
    <w:p>
      <w:pPr>
        <w:jc w:val="center"/>
      </w:pPr>
      <w:r>
        <w:rPr>
          <w:b/>
          <w:color w:val="1E293B"/>
          <w:sz w:val="28"/>
        </w:rPr>
        <w:t>Notifications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115 objective  Complete the orientation and setup for Notifications: Apply notifications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notifications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Notifications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Notifications.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“Notifications”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Day_115_Notifications/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Beyond_SoftwareDev_Internship\Day_115_Notifications\evidence, Beyond_SoftwareDev_Internship\Day_115_Notifications\notebooks, Beyond_SoftwareDev_Internship\Day_115_Notifications\src, Beyond_SoftwareDev_Internship\Day_115_Notifications\data, Beyond_SoftwareDev_Internship\Day_115_Notifications\output, Beyond_SoftwareDev_Internship\Day_115_Notifications\report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Beyond_SoftwareDev_Internship/Day_115_Notifications/{evidence,notebooks,src,data,output,report}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Notifications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notifications.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day_115_lab.py — Orientation and setup: Notifications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115 practical starter for Notifications.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'Notifications')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Notifications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Notifications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115 (Orientation and setup) on Notifications.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